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Wo ich (nicht) sein sollte</w:t>
      </w:r>
    </w:p>
    <w:p>
      <w:pPr>
        <w:spacing w:after="120"/>
      </w:pPr>
      <w:r>
        <w:rPr>
          <w:i/>
        </w:rPr>
        <w:t xml:space="preserve">von Sara Mari Blom</w:t>
      </w:r>
    </w:p>
    <w:p>
      <w:pPr>
        <w:spacing w:after="160"/>
        <w:rPr>
          <w:b/>
          <w:sz w:val="26"/>
        </w:rPr>
      </w:pPr>
      <w:r>
        <w:rPr>
          <w:b/>
        </w:rPr>
        <w:t xml:space="preserve">Über die Autor:innen</w:t>
      </w:r>
    </w:p>
    <w:p>
      <w:pPr>
        <w:spacing w:after="120"/>
      </w:pPr>
      <w:r>
        <w:t xml:space="preserve">Als Arbeiter*innenkind aus dem ländlichen Raum Westdeutschlands studierte Sara Mari Blom Kostümbild und Integriertes Design. Seitdem beschäftigt sie sich mit den Räumen, in denen soziale Unterschiede sichtbar oder spürbar werden. Besonders interessiert sie der Zwischenraum: Was passiert, wenn Menschen soziale Grenzen überschreiten – und welche Emotionen begleiten diesen Prozess? Darin liegt ihr Fokus auf Klassismus und inwiefern Diskriminierung mit Scham und Beschämung einhergeht.</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