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Zwischen den Krisen</w:t>
      </w:r>
    </w:p>
    <w:p>
      <w:pPr>
        <w:spacing w:after="120"/>
      </w:pPr>
      <w:r>
        <w:rPr>
          <w:i/>
        </w:rPr>
        <w:t xml:space="preserve">von Julia Drube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Herausgeber:in: Julia Drube; Nachwort: Anna-Nicole Heinrich; A32: Julia Drube; A32: Luana Bauspieß; A32: Raphael Döhn; A32: Paula Neven Du Mont; A32: Tom Kleffmann; A32: Robert Brandau; A32: Sabine Kropf-Brandau; A32: Johannes Thüne; A32: Christiane Caspary; A32: Udo Ritter; A32: Lisa Baumeister; A32: Anna Berting; A32: Luise Maidowski; A32: Aline Ott; A32: Daniela Zahneisen; A32: Anna-Lena Moselewski; A32: Maike Maria Domsel; A32: Joel Klenk; A32: Lukas Grill; B14: Lisa Menzel; A13: Nina Knöll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